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3C40" w14:textId="33C153CC" w:rsidR="00A76B40" w:rsidRDefault="00A76B40" w:rsidP="00F561D0">
      <w:pPr>
        <w:tabs>
          <w:tab w:val="left" w:pos="3544"/>
        </w:tabs>
        <w:ind w:left="3544"/>
        <w:rPr>
          <w:b/>
          <w:sz w:val="24"/>
          <w:szCs w:val="24"/>
        </w:rPr>
      </w:pPr>
      <w:r>
        <w:rPr>
          <w:noProof/>
        </w:rPr>
        <w:drawing>
          <wp:anchor distT="0" distB="0" distL="114300" distR="114300" simplePos="0" relativeHeight="251659264" behindDoc="0" locked="0" layoutInCell="1" allowOverlap="1" wp14:anchorId="6EB65BC7" wp14:editId="6B48B533">
            <wp:simplePos x="0" y="0"/>
            <wp:positionH relativeFrom="margin">
              <wp:posOffset>-298450</wp:posOffset>
            </wp:positionH>
            <wp:positionV relativeFrom="paragraph">
              <wp:posOffset>49530</wp:posOffset>
            </wp:positionV>
            <wp:extent cx="2230755" cy="603250"/>
            <wp:effectExtent l="0" t="0" r="0" b="6350"/>
            <wp:wrapSquare wrapText="bothSides"/>
            <wp:docPr id="1705056310" name="Resim 1705056310" descr="yazı tipi, grafik, grafik tasarım,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924462" name="Resim 1" descr="yazı tipi, grafik, grafik tasarım, 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0755" cy="603250"/>
                    </a:xfrm>
                    <a:prstGeom prst="rect">
                      <a:avLst/>
                    </a:prstGeom>
                  </pic:spPr>
                </pic:pic>
              </a:graphicData>
            </a:graphic>
            <wp14:sizeRelH relativeFrom="page">
              <wp14:pctWidth>0</wp14:pctWidth>
            </wp14:sizeRelH>
            <wp14:sizeRelV relativeFrom="page">
              <wp14:pctHeight>0</wp14:pctHeight>
            </wp14:sizeRelV>
          </wp:anchor>
        </w:drawing>
      </w:r>
    </w:p>
    <w:p w14:paraId="2988EAC2" w14:textId="5B5C4A90" w:rsidR="00A76B40" w:rsidRPr="00A76B40" w:rsidRDefault="00FB015D" w:rsidP="00443E81">
      <w:pPr>
        <w:ind w:left="4111"/>
        <w:rPr>
          <w:b/>
          <w:sz w:val="28"/>
          <w:szCs w:val="28"/>
        </w:rPr>
      </w:pPr>
      <w:r>
        <w:rPr>
          <w:b/>
          <w:sz w:val="28"/>
          <w:szCs w:val="28"/>
        </w:rPr>
        <w:t>Bilgi Güvenliği Politikamız</w:t>
      </w:r>
    </w:p>
    <w:p w14:paraId="10E86B4F" w14:textId="77777777" w:rsidR="00A76B40" w:rsidRPr="00FB015D" w:rsidRDefault="00A76B40" w:rsidP="00A76B40">
      <w:pPr>
        <w:shd w:val="clear" w:color="auto" w:fill="FFFFFF"/>
        <w:spacing w:before="120" w:after="120" w:line="360" w:lineRule="atLeast"/>
        <w:jc w:val="both"/>
        <w:textAlignment w:val="baseline"/>
        <w:rPr>
          <w:rFonts w:cstheme="minorHAnsi"/>
          <w:lang w:eastAsia="tr-TR"/>
        </w:rPr>
      </w:pPr>
    </w:p>
    <w:p w14:paraId="738A7BBB" w14:textId="46913467" w:rsidR="00FB015D" w:rsidRPr="00EF7251" w:rsidRDefault="00FB015D" w:rsidP="00EF7251">
      <w:pPr>
        <w:pStyle w:val="ListeParagraf"/>
        <w:shd w:val="clear" w:color="auto" w:fill="FFFFFF"/>
        <w:spacing w:before="120" w:after="120" w:line="320" w:lineRule="atLeast"/>
        <w:ind w:left="284"/>
        <w:contextualSpacing w:val="0"/>
        <w:jc w:val="both"/>
        <w:textAlignment w:val="baseline"/>
        <w:rPr>
          <w:rFonts w:cstheme="minorHAnsi"/>
          <w:shd w:val="clear" w:color="auto" w:fill="FFFFFF"/>
        </w:rPr>
      </w:pPr>
      <w:r w:rsidRPr="00EF7251">
        <w:rPr>
          <w:rFonts w:cstheme="minorHAnsi"/>
          <w:lang w:eastAsia="tr-TR"/>
        </w:rPr>
        <w:t xml:space="preserve">İ-Mak redüktör bilgi güvenliği faaliyetlerinin temel ilkelerinden biri haline getirmiştir. Bu çerçevede; İ-Mak redüktör </w:t>
      </w:r>
      <w:r w:rsidRPr="00EF7251">
        <w:rPr>
          <w:rFonts w:cstheme="minorHAnsi"/>
          <w:shd w:val="clear" w:color="auto" w:fill="FFFFFF"/>
        </w:rPr>
        <w:t>bütünlüğünü ve erişilebilirliğini üst yönetim, çalışanlarımız ve tüm paydaşlarımızın desteği ile sağlamaktadır. Bu doğrultuda hedefimiz, üst düzey farkındalık oluşturarak tüm çalışanlarımız ve paydaşlarımızın katkı ve uyumları ile bilgi güvenliği süreçlerini sürekli geliştirip potansiyel tehditlerin etkisini azaltmak için bilgi güvenliği olaylarını engellemek veya hasar riskini minimize etmektir.</w:t>
      </w:r>
    </w:p>
    <w:p w14:paraId="01A3EF06" w14:textId="77777777" w:rsidR="00FB015D" w:rsidRPr="00EF7251" w:rsidRDefault="00FB015D" w:rsidP="00EF7251">
      <w:pPr>
        <w:pStyle w:val="ListeParagraf"/>
        <w:shd w:val="clear" w:color="auto" w:fill="FFFFFF"/>
        <w:spacing w:before="120" w:after="120" w:line="320" w:lineRule="atLeast"/>
        <w:ind w:left="284"/>
        <w:contextualSpacing w:val="0"/>
        <w:jc w:val="both"/>
        <w:textAlignment w:val="baseline"/>
        <w:rPr>
          <w:rFonts w:cstheme="minorHAnsi"/>
          <w:lang w:eastAsia="tr-TR"/>
        </w:rPr>
      </w:pPr>
    </w:p>
    <w:p w14:paraId="25D157BC" w14:textId="4A4A6A3F" w:rsidR="00FB015D" w:rsidRPr="00EF7251" w:rsidRDefault="00FB015D" w:rsidP="00EF7251">
      <w:pPr>
        <w:numPr>
          <w:ilvl w:val="0"/>
          <w:numId w:val="2"/>
        </w:numPr>
        <w:shd w:val="clear" w:color="auto" w:fill="FFFFFF"/>
        <w:spacing w:before="120" w:after="120" w:line="320" w:lineRule="atLeast"/>
        <w:rPr>
          <w:rFonts w:eastAsia="Times New Roman" w:cstheme="minorHAnsi"/>
          <w:lang w:eastAsia="tr-TR"/>
        </w:rPr>
      </w:pPr>
      <w:r w:rsidRPr="00FB015D">
        <w:rPr>
          <w:rFonts w:eastAsia="Times New Roman" w:cstheme="minorHAnsi"/>
          <w:lang w:eastAsia="tr-TR"/>
        </w:rPr>
        <w:t>Bilginin yetkisiz erişimden korunması</w:t>
      </w:r>
      <w:r w:rsidR="00EF7251" w:rsidRPr="00EF7251">
        <w:rPr>
          <w:rFonts w:eastAsia="Times New Roman" w:cstheme="minorHAnsi"/>
          <w:lang w:eastAsia="tr-TR"/>
        </w:rPr>
        <w:t>nı sağlamak</w:t>
      </w:r>
    </w:p>
    <w:p w14:paraId="07958150" w14:textId="5246571B" w:rsidR="00FB015D" w:rsidRPr="00EF7251" w:rsidRDefault="00EF7251" w:rsidP="00EF7251">
      <w:pPr>
        <w:numPr>
          <w:ilvl w:val="0"/>
          <w:numId w:val="2"/>
        </w:numPr>
        <w:shd w:val="clear" w:color="auto" w:fill="FFFFFF"/>
        <w:spacing w:before="120" w:after="120" w:line="320" w:lineRule="atLeast"/>
        <w:rPr>
          <w:rFonts w:eastAsia="Times New Roman" w:cstheme="minorHAnsi"/>
          <w:lang w:eastAsia="tr-TR"/>
        </w:rPr>
      </w:pPr>
      <w:r w:rsidRPr="00EF7251">
        <w:rPr>
          <w:rFonts w:cstheme="minorHAnsi"/>
        </w:rPr>
        <w:t>İ-Mak redüktörün tüm birimleri ve çalışanlarının Bilgi Güvenliği Yönetim Sistemi Standardının yanı sıra, yasal uygulamalardan ve sözleşmelerden doğan veya doğabilecek şartlara uygun hareket etmesini,</w:t>
      </w:r>
    </w:p>
    <w:p w14:paraId="43EBD4AA" w14:textId="77777777" w:rsidR="00EF7251" w:rsidRPr="00EF7251" w:rsidRDefault="00EF7251" w:rsidP="00EF7251">
      <w:pPr>
        <w:numPr>
          <w:ilvl w:val="0"/>
          <w:numId w:val="2"/>
        </w:numPr>
        <w:shd w:val="clear" w:color="auto" w:fill="FFFFFF"/>
        <w:spacing w:before="120" w:after="120" w:line="320" w:lineRule="atLeast"/>
        <w:rPr>
          <w:rFonts w:eastAsia="Times New Roman" w:cstheme="minorHAnsi"/>
          <w:lang w:eastAsia="tr-TR"/>
        </w:rPr>
      </w:pPr>
      <w:r w:rsidRPr="00EF7251">
        <w:rPr>
          <w:rFonts w:eastAsia="Times New Roman" w:cstheme="minorHAnsi"/>
          <w:lang w:eastAsia="tr-TR"/>
        </w:rPr>
        <w:t>Bilgi güvenliği bilincini kurum kültürünün bir parçası haline getirmek ve çalışanlarımızın bilgi güvenliği farkındalığını üst seviyede tutmak.</w:t>
      </w:r>
    </w:p>
    <w:p w14:paraId="6551D081" w14:textId="2DB90248" w:rsidR="00EF7251" w:rsidRPr="00EF7251" w:rsidRDefault="00EF7251" w:rsidP="00EF7251">
      <w:pPr>
        <w:numPr>
          <w:ilvl w:val="0"/>
          <w:numId w:val="2"/>
        </w:numPr>
        <w:shd w:val="clear" w:color="auto" w:fill="FFFFFF"/>
        <w:spacing w:before="120" w:after="120" w:line="320" w:lineRule="atLeast"/>
        <w:rPr>
          <w:rFonts w:eastAsia="Times New Roman" w:cstheme="minorHAnsi"/>
          <w:lang w:eastAsia="tr-TR"/>
        </w:rPr>
      </w:pPr>
      <w:r w:rsidRPr="00EF7251">
        <w:rPr>
          <w:rFonts w:cstheme="minorHAnsi"/>
          <w:shd w:val="clear" w:color="auto" w:fill="FFFFFF"/>
        </w:rPr>
        <w:t>Kurumumuzu içeriden veya dışarıdan gelebilecek tehditlere karşı korumak.</w:t>
      </w:r>
    </w:p>
    <w:p w14:paraId="5522F924" w14:textId="75EEF802" w:rsidR="00EF7251" w:rsidRPr="00EF7251" w:rsidRDefault="00EF7251" w:rsidP="00EF7251">
      <w:pPr>
        <w:numPr>
          <w:ilvl w:val="0"/>
          <w:numId w:val="2"/>
        </w:numPr>
        <w:shd w:val="clear" w:color="auto" w:fill="FFFFFF"/>
        <w:spacing w:before="120" w:after="120" w:line="320" w:lineRule="atLeast"/>
        <w:rPr>
          <w:rFonts w:eastAsia="Times New Roman" w:cstheme="minorHAnsi"/>
          <w:lang w:eastAsia="tr-TR"/>
        </w:rPr>
      </w:pPr>
      <w:r w:rsidRPr="00EF7251">
        <w:rPr>
          <w:rFonts w:eastAsia="Times New Roman" w:cstheme="minorHAnsi"/>
          <w:lang w:eastAsia="tr-TR"/>
        </w:rPr>
        <w:t>Çalışanlarımızın kişisel bilgilerinin, Tedarikçileri, İş Ortakları ve Kurumsal Müşterilerinin ticari sırlarının ve itibarının ve kişisel bilgilerinin korunmasını sağlamak.</w:t>
      </w:r>
    </w:p>
    <w:p w14:paraId="39BCC573" w14:textId="77777777" w:rsidR="00EF7251" w:rsidRPr="00EF7251" w:rsidRDefault="00EF7251" w:rsidP="00EF7251">
      <w:pPr>
        <w:numPr>
          <w:ilvl w:val="0"/>
          <w:numId w:val="2"/>
        </w:numPr>
        <w:shd w:val="clear" w:color="auto" w:fill="FFFFFF"/>
        <w:spacing w:before="120" w:after="120" w:line="320" w:lineRule="atLeast"/>
        <w:rPr>
          <w:rFonts w:eastAsia="Times New Roman" w:cstheme="minorHAnsi"/>
          <w:lang w:eastAsia="tr-TR"/>
        </w:rPr>
      </w:pPr>
      <w:r w:rsidRPr="00EF7251">
        <w:rPr>
          <w:rFonts w:eastAsia="Times New Roman" w:cstheme="minorHAnsi"/>
          <w:lang w:eastAsia="tr-TR"/>
        </w:rPr>
        <w:t>Bilgi sistemleri üzerinden hizmetlerin sunulmasında kullanılan tüm fiziksel ve elektronik bilgi varlıklarının güvenliğini sağlamak.</w:t>
      </w:r>
    </w:p>
    <w:p w14:paraId="6BCF7E50" w14:textId="58612436" w:rsidR="00EF7251" w:rsidRPr="00EF7251" w:rsidRDefault="00EF7251" w:rsidP="00EF7251">
      <w:pPr>
        <w:numPr>
          <w:ilvl w:val="0"/>
          <w:numId w:val="2"/>
        </w:numPr>
        <w:shd w:val="clear" w:color="auto" w:fill="FFFFFF"/>
        <w:spacing w:before="120" w:after="120" w:line="320" w:lineRule="atLeast"/>
        <w:rPr>
          <w:rFonts w:eastAsia="Times New Roman" w:cstheme="minorHAnsi"/>
          <w:lang w:eastAsia="tr-TR"/>
        </w:rPr>
      </w:pPr>
      <w:r w:rsidRPr="00EF7251">
        <w:rPr>
          <w:rFonts w:cstheme="minorHAnsi"/>
          <w:shd w:val="clear" w:color="auto" w:fill="FFFFFF"/>
        </w:rPr>
        <w:t>Bilgi Güvenliği ile ilgili tüm yasal mevzuata uyum sağlamayı,</w:t>
      </w:r>
    </w:p>
    <w:p w14:paraId="04761565" w14:textId="1AC200FB" w:rsidR="00EF7251" w:rsidRPr="00EF7251" w:rsidRDefault="00EF7251" w:rsidP="00EF7251">
      <w:pPr>
        <w:numPr>
          <w:ilvl w:val="0"/>
          <w:numId w:val="2"/>
        </w:numPr>
        <w:shd w:val="clear" w:color="auto" w:fill="FFFFFF"/>
        <w:spacing w:before="120" w:after="120" w:line="320" w:lineRule="atLeast"/>
        <w:rPr>
          <w:rFonts w:eastAsia="Times New Roman" w:cstheme="minorHAnsi"/>
          <w:lang w:eastAsia="tr-TR"/>
        </w:rPr>
      </w:pPr>
      <w:r w:rsidRPr="00EF7251">
        <w:rPr>
          <w:rFonts w:cstheme="minorHAnsi"/>
          <w:shd w:val="clear" w:color="auto" w:fill="FFFFFF"/>
        </w:rPr>
        <w:t>Bilgi Güv​enliği Yönetim Sistemi’nin yaşatılması için sürekli iyileştirme fırsatlarının değerlendirmeyi ve çalışmalarını gerçekleştirmeyi,</w:t>
      </w:r>
    </w:p>
    <w:p w14:paraId="33417971" w14:textId="1741767F" w:rsidR="00EF7251" w:rsidRDefault="00EF7251" w:rsidP="00443E81">
      <w:pPr>
        <w:numPr>
          <w:ilvl w:val="0"/>
          <w:numId w:val="2"/>
        </w:numPr>
        <w:shd w:val="clear" w:color="auto" w:fill="FFFFFF"/>
        <w:spacing w:after="0" w:line="375" w:lineRule="atLeast"/>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Bilgi Güvenliği Yönetim Sistemini </w:t>
      </w:r>
      <w:r w:rsidRPr="00EF7251">
        <w:rPr>
          <w:rFonts w:ascii="Arial" w:eastAsia="Times New Roman" w:hAnsi="Arial" w:cs="Arial"/>
          <w:color w:val="000000"/>
          <w:sz w:val="20"/>
          <w:szCs w:val="20"/>
          <w:lang w:eastAsia="tr-TR"/>
        </w:rPr>
        <w:t xml:space="preserve"> kurmak, gerçekleştirmek, işletmek, izlemek, gözden geçirmek, sürdürmek ve sürekli iyileştirmek için yeterli kaynakların (finansal, insan kaynakları, ekipman, yazılım, danışmanlık, eğitim vs.) sağlanması</w:t>
      </w:r>
      <w:r w:rsidR="00443E81">
        <w:rPr>
          <w:rFonts w:ascii="Arial" w:eastAsia="Times New Roman" w:hAnsi="Arial" w:cs="Arial"/>
          <w:color w:val="000000"/>
          <w:sz w:val="20"/>
          <w:szCs w:val="20"/>
          <w:lang w:eastAsia="tr-TR"/>
        </w:rPr>
        <w:t>nı</w:t>
      </w:r>
    </w:p>
    <w:p w14:paraId="1382F2AB" w14:textId="7156F566" w:rsidR="00EF27C7" w:rsidRPr="00FB015D" w:rsidRDefault="00EF27C7" w:rsidP="00EF27C7">
      <w:pPr>
        <w:numPr>
          <w:ilvl w:val="0"/>
          <w:numId w:val="7"/>
        </w:numPr>
        <w:spacing w:before="100" w:beforeAutospacing="1" w:after="100" w:afterAutospacing="1" w:line="240" w:lineRule="auto"/>
        <w:rPr>
          <w:rFonts w:eastAsia="Times New Roman" w:cstheme="minorHAnsi"/>
          <w:color w:val="212529"/>
          <w:lang w:eastAsia="tr-TR"/>
        </w:rPr>
      </w:pPr>
      <w:r w:rsidRPr="00EF27C7">
        <w:rPr>
          <w:rFonts w:eastAsia="Times New Roman" w:cstheme="minorHAnsi"/>
          <w:color w:val="000000"/>
          <w:lang w:eastAsia="tr-TR"/>
        </w:rPr>
        <w:t xml:space="preserve">Dijitalleşme sürecinde </w:t>
      </w:r>
      <w:r>
        <w:rPr>
          <w:rFonts w:eastAsia="Times New Roman" w:cstheme="minorHAnsi"/>
          <w:color w:val="000000"/>
          <w:lang w:eastAsia="tr-TR"/>
        </w:rPr>
        <w:t>b</w:t>
      </w:r>
      <w:r w:rsidRPr="00EF27C7">
        <w:rPr>
          <w:rFonts w:eastAsia="Times New Roman" w:cstheme="minorHAnsi"/>
          <w:color w:val="212529"/>
          <w:lang w:eastAsia="tr-TR"/>
        </w:rPr>
        <w:t>ilgi güvenliği ihlallerini yönetmek için gerekli sistemleri kurmayı ve tekrarlanmasını önlemek için uygun önlemleri almayı,</w:t>
      </w:r>
    </w:p>
    <w:p w14:paraId="4BD86463" w14:textId="77777777" w:rsidR="00A76B40" w:rsidRDefault="00A76B40" w:rsidP="00A76B40">
      <w:pPr>
        <w:spacing w:before="120" w:after="120" w:line="360" w:lineRule="atLeast"/>
        <w:jc w:val="both"/>
        <w:rPr>
          <w:rFonts w:cstheme="minorHAnsi"/>
        </w:rPr>
      </w:pPr>
    </w:p>
    <w:p w14:paraId="53446B97" w14:textId="20853A9B" w:rsidR="00A76B40" w:rsidRPr="00A76B40" w:rsidRDefault="00A76B40" w:rsidP="00A76B40">
      <w:pPr>
        <w:spacing w:before="120" w:after="120" w:line="360" w:lineRule="atLeast"/>
        <w:jc w:val="both"/>
        <w:rPr>
          <w:rFonts w:cstheme="minorHAnsi"/>
        </w:rPr>
      </w:pPr>
      <w:r>
        <w:rPr>
          <w:rFonts w:cstheme="minorHAnsi"/>
        </w:rPr>
        <w:t>Taahhüt Ederiz.</w:t>
      </w:r>
    </w:p>
    <w:p w14:paraId="4DBD71EA" w14:textId="77777777" w:rsidR="00A76B40" w:rsidRDefault="00A76B40" w:rsidP="00E50351">
      <w:pPr>
        <w:jc w:val="right"/>
      </w:pPr>
    </w:p>
    <w:p w14:paraId="77C5F857" w14:textId="77777777" w:rsidR="00443E81" w:rsidRDefault="00443E81" w:rsidP="00E50351">
      <w:pPr>
        <w:jc w:val="right"/>
      </w:pPr>
    </w:p>
    <w:p w14:paraId="5EC7469C" w14:textId="64344316" w:rsidR="00E07B13" w:rsidRPr="00F561D0" w:rsidRDefault="00E2157F" w:rsidP="00E2157F">
      <w:pPr>
        <w:tabs>
          <w:tab w:val="left" w:pos="1947"/>
          <w:tab w:val="right" w:pos="10063"/>
        </w:tabs>
        <w:rPr>
          <w:b/>
          <w:bCs/>
          <w:sz w:val="26"/>
          <w:szCs w:val="26"/>
        </w:rPr>
      </w:pPr>
      <w:r>
        <w:rPr>
          <w:b/>
          <w:bCs/>
          <w:sz w:val="26"/>
          <w:szCs w:val="26"/>
        </w:rPr>
        <w:tab/>
      </w:r>
      <w:r>
        <w:rPr>
          <w:b/>
          <w:bCs/>
          <w:sz w:val="26"/>
          <w:szCs w:val="26"/>
        </w:rPr>
        <w:tab/>
      </w:r>
      <w:r w:rsidR="00E50351" w:rsidRPr="00F561D0">
        <w:rPr>
          <w:b/>
          <w:bCs/>
          <w:sz w:val="26"/>
          <w:szCs w:val="26"/>
        </w:rPr>
        <w:t xml:space="preserve"> </w:t>
      </w:r>
      <w:r w:rsidR="006A7169" w:rsidRPr="00F561D0">
        <w:rPr>
          <w:b/>
          <w:bCs/>
          <w:sz w:val="26"/>
          <w:szCs w:val="26"/>
        </w:rPr>
        <w:t>Genel Müdür</w:t>
      </w:r>
      <w:r w:rsidR="00E50351" w:rsidRPr="00F561D0">
        <w:rPr>
          <w:b/>
          <w:bCs/>
          <w:sz w:val="26"/>
          <w:szCs w:val="26"/>
        </w:rPr>
        <w:t xml:space="preserve">                              </w:t>
      </w:r>
    </w:p>
    <w:p w14:paraId="1DECC151" w14:textId="74413FB7" w:rsidR="006A7169" w:rsidRPr="00F561D0" w:rsidRDefault="00E2157F" w:rsidP="00E50351">
      <w:pPr>
        <w:jc w:val="right"/>
        <w:rPr>
          <w:b/>
          <w:bCs/>
          <w:sz w:val="26"/>
          <w:szCs w:val="26"/>
        </w:rPr>
      </w:pPr>
      <w:r w:rsidRPr="00F561D0">
        <w:rPr>
          <w:b/>
          <w:bCs/>
          <w:sz w:val="26"/>
          <w:szCs w:val="26"/>
        </w:rPr>
        <w:t xml:space="preserve">Fatih </w:t>
      </w:r>
      <w:r w:rsidR="006A7169" w:rsidRPr="00F561D0">
        <w:rPr>
          <w:b/>
          <w:bCs/>
          <w:sz w:val="26"/>
          <w:szCs w:val="26"/>
        </w:rPr>
        <w:t>Mehmet ÖZDEMİR</w:t>
      </w:r>
    </w:p>
    <w:p w14:paraId="54350FCC" w14:textId="77777777" w:rsidR="00D24F19" w:rsidRDefault="00D24F19" w:rsidP="00D24F19">
      <w:pPr>
        <w:pStyle w:val="AltBilgi"/>
        <w:rPr>
          <w:rFonts w:ascii="Arial" w:hAnsi="Arial" w:cs="Arial"/>
          <w:sz w:val="14"/>
          <w:szCs w:val="14"/>
        </w:rPr>
      </w:pPr>
    </w:p>
    <w:p w14:paraId="6558B02C" w14:textId="77777777" w:rsidR="00D24F19" w:rsidRDefault="00D24F19" w:rsidP="00D24F19">
      <w:pPr>
        <w:pStyle w:val="AltBilgi"/>
        <w:rPr>
          <w:rFonts w:ascii="Arial" w:hAnsi="Arial" w:cs="Arial"/>
          <w:sz w:val="14"/>
          <w:szCs w:val="14"/>
        </w:rPr>
      </w:pPr>
    </w:p>
    <w:p w14:paraId="3534F80B" w14:textId="77777777" w:rsidR="00D24F19" w:rsidRDefault="00D24F19" w:rsidP="00D24F19">
      <w:pPr>
        <w:pStyle w:val="AltBilgi"/>
        <w:rPr>
          <w:rFonts w:ascii="Arial" w:hAnsi="Arial" w:cs="Arial"/>
          <w:sz w:val="14"/>
          <w:szCs w:val="14"/>
        </w:rPr>
      </w:pPr>
    </w:p>
    <w:p w14:paraId="012ED414" w14:textId="77777777" w:rsidR="00F561D0" w:rsidRDefault="00F561D0" w:rsidP="00D24F19">
      <w:pPr>
        <w:pStyle w:val="AltBilgi"/>
        <w:rPr>
          <w:rFonts w:ascii="Arial" w:hAnsi="Arial" w:cs="Arial"/>
          <w:sz w:val="14"/>
          <w:szCs w:val="14"/>
        </w:rPr>
      </w:pPr>
    </w:p>
    <w:p w14:paraId="70830957" w14:textId="77777777" w:rsidR="00F561D0" w:rsidRDefault="00F561D0" w:rsidP="00D24F19">
      <w:pPr>
        <w:pStyle w:val="AltBilgi"/>
        <w:rPr>
          <w:rFonts w:ascii="Arial" w:hAnsi="Arial" w:cs="Arial"/>
          <w:sz w:val="14"/>
          <w:szCs w:val="14"/>
        </w:rPr>
      </w:pPr>
    </w:p>
    <w:p w14:paraId="4E52524A" w14:textId="77777777" w:rsidR="00443E81" w:rsidRDefault="00443E81" w:rsidP="00D24F19">
      <w:pPr>
        <w:pStyle w:val="AltBilgi"/>
        <w:rPr>
          <w:rFonts w:ascii="Arial" w:hAnsi="Arial" w:cs="Arial"/>
          <w:sz w:val="14"/>
          <w:szCs w:val="14"/>
        </w:rPr>
      </w:pPr>
    </w:p>
    <w:p w14:paraId="0F25A205" w14:textId="77777777" w:rsidR="00443E81" w:rsidRDefault="00443E81" w:rsidP="00D24F19">
      <w:pPr>
        <w:pStyle w:val="AltBilgi"/>
        <w:rPr>
          <w:rFonts w:ascii="Arial" w:hAnsi="Arial" w:cs="Arial"/>
          <w:sz w:val="14"/>
          <w:szCs w:val="14"/>
        </w:rPr>
      </w:pPr>
    </w:p>
    <w:p w14:paraId="1B813854" w14:textId="77777777" w:rsidR="00F561D0" w:rsidRDefault="00F561D0" w:rsidP="00D24F19">
      <w:pPr>
        <w:pStyle w:val="AltBilgi"/>
        <w:rPr>
          <w:rFonts w:ascii="Arial" w:hAnsi="Arial" w:cs="Arial"/>
          <w:sz w:val="14"/>
          <w:szCs w:val="14"/>
        </w:rPr>
      </w:pPr>
    </w:p>
    <w:p w14:paraId="7E6D1042" w14:textId="77777777" w:rsidR="00D24F19" w:rsidRDefault="00D24F19" w:rsidP="00D24F19">
      <w:pPr>
        <w:pStyle w:val="AltBilgi"/>
        <w:jc w:val="center"/>
        <w:rPr>
          <w:rFonts w:ascii="Arial" w:hAnsi="Arial" w:cs="Arial"/>
          <w:sz w:val="14"/>
          <w:szCs w:val="14"/>
        </w:rPr>
      </w:pPr>
    </w:p>
    <w:p w14:paraId="0F9A26E0" w14:textId="77777777" w:rsidR="00D24F19" w:rsidRDefault="00D24F19" w:rsidP="00D24F19">
      <w:pPr>
        <w:pStyle w:val="AltBilgi"/>
        <w:rPr>
          <w:rFonts w:ascii="Arial" w:hAnsi="Arial" w:cs="Arial"/>
          <w:sz w:val="14"/>
          <w:szCs w:val="14"/>
        </w:rPr>
      </w:pPr>
    </w:p>
    <w:sectPr w:rsidR="00D24F19" w:rsidSect="00D962D9">
      <w:headerReference w:type="even" r:id="rId8"/>
      <w:headerReference w:type="default" r:id="rId9"/>
      <w:footerReference w:type="even" r:id="rId10"/>
      <w:footerReference w:type="default" r:id="rId11"/>
      <w:headerReference w:type="first" r:id="rId12"/>
      <w:footerReference w:type="first" r:id="rId13"/>
      <w:pgSz w:w="11906" w:h="16838"/>
      <w:pgMar w:top="426" w:right="709" w:bottom="284" w:left="1134" w:header="284"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6466" w14:textId="77777777" w:rsidR="00D962D9" w:rsidRDefault="00D962D9" w:rsidP="007C35D2">
      <w:pPr>
        <w:spacing w:after="0" w:line="240" w:lineRule="auto"/>
      </w:pPr>
      <w:r>
        <w:separator/>
      </w:r>
    </w:p>
  </w:endnote>
  <w:endnote w:type="continuationSeparator" w:id="0">
    <w:p w14:paraId="48C3A48F" w14:textId="77777777" w:rsidR="00D962D9" w:rsidRDefault="00D962D9" w:rsidP="007C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C0FB" w14:textId="77777777" w:rsidR="00E46504" w:rsidRDefault="00E4650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AE99" w14:textId="325EBF53" w:rsidR="00E46504" w:rsidRPr="00E46504" w:rsidRDefault="00E46504" w:rsidP="00E46504">
    <w:pPr>
      <w:pStyle w:val="AltBilgi"/>
      <w:ind w:left="-426"/>
      <w:rPr>
        <w:rFonts w:ascii="Arial" w:hAnsi="Arial" w:cs="Arial"/>
        <w:sz w:val="14"/>
        <w:szCs w:val="14"/>
      </w:rPr>
    </w:pPr>
    <w:r w:rsidRPr="004951C7">
      <w:rPr>
        <w:rFonts w:ascii="Arial" w:hAnsi="Arial" w:cs="Arial"/>
        <w:sz w:val="14"/>
        <w:szCs w:val="14"/>
      </w:rPr>
      <w:t>KG-</w:t>
    </w:r>
    <w:r>
      <w:rPr>
        <w:rFonts w:ascii="Arial" w:hAnsi="Arial" w:cs="Arial"/>
        <w:sz w:val="14"/>
        <w:szCs w:val="14"/>
      </w:rPr>
      <w:t>PLK</w:t>
    </w:r>
    <w:r w:rsidRPr="004951C7">
      <w:rPr>
        <w:rFonts w:ascii="Arial" w:hAnsi="Arial" w:cs="Arial"/>
        <w:sz w:val="14"/>
        <w:szCs w:val="14"/>
      </w:rPr>
      <w:t>-00</w:t>
    </w:r>
    <w:r>
      <w:rPr>
        <w:rFonts w:ascii="Arial" w:hAnsi="Arial" w:cs="Arial"/>
        <w:sz w:val="14"/>
        <w:szCs w:val="14"/>
      </w:rPr>
      <w:t>7 – R</w:t>
    </w:r>
    <w:r w:rsidR="00502075">
      <w:rPr>
        <w:rFonts w:ascii="Arial" w:hAnsi="Arial" w:cs="Arial"/>
        <w:sz w:val="14"/>
        <w:szCs w:val="14"/>
      </w:rPr>
      <w:t>0</w:t>
    </w:r>
    <w:r>
      <w:rPr>
        <w:rFonts w:ascii="Arial" w:hAnsi="Arial" w:cs="Arial"/>
        <w:sz w:val="14"/>
        <w:szCs w:val="14"/>
      </w:rPr>
      <w:t xml:space="preserve"> – 08.12.2023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F8AD" w14:textId="77777777" w:rsidR="00E46504" w:rsidRDefault="00E465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B354" w14:textId="77777777" w:rsidR="00D962D9" w:rsidRDefault="00D962D9" w:rsidP="007C35D2">
      <w:pPr>
        <w:spacing w:after="0" w:line="240" w:lineRule="auto"/>
      </w:pPr>
      <w:r>
        <w:separator/>
      </w:r>
    </w:p>
  </w:footnote>
  <w:footnote w:type="continuationSeparator" w:id="0">
    <w:p w14:paraId="688D8973" w14:textId="77777777" w:rsidR="00D962D9" w:rsidRDefault="00D962D9" w:rsidP="007C3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5C5A" w14:textId="77777777" w:rsidR="00E46504" w:rsidRDefault="00E4650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DFF9" w14:textId="77777777" w:rsidR="00E46504" w:rsidRDefault="00E4650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411D" w14:textId="77777777" w:rsidR="00E46504" w:rsidRDefault="00E465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27C8"/>
    <w:multiLevelType w:val="hybridMultilevel"/>
    <w:tmpl w:val="2892C5E6"/>
    <w:lvl w:ilvl="0" w:tplc="B7F825B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561ACF"/>
    <w:multiLevelType w:val="multilevel"/>
    <w:tmpl w:val="4510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C242D"/>
    <w:multiLevelType w:val="multilevel"/>
    <w:tmpl w:val="0522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42B10"/>
    <w:multiLevelType w:val="hybridMultilevel"/>
    <w:tmpl w:val="1D268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195AF3"/>
    <w:multiLevelType w:val="multilevel"/>
    <w:tmpl w:val="F17A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85D87"/>
    <w:multiLevelType w:val="multilevel"/>
    <w:tmpl w:val="98B4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5D0EFB"/>
    <w:multiLevelType w:val="multilevel"/>
    <w:tmpl w:val="F010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2912314">
    <w:abstractNumId w:val="3"/>
  </w:num>
  <w:num w:numId="2" w16cid:durableId="2096709082">
    <w:abstractNumId w:val="0"/>
  </w:num>
  <w:num w:numId="3" w16cid:durableId="1924142015">
    <w:abstractNumId w:val="2"/>
  </w:num>
  <w:num w:numId="4" w16cid:durableId="1988630200">
    <w:abstractNumId w:val="1"/>
  </w:num>
  <w:num w:numId="5" w16cid:durableId="999427667">
    <w:abstractNumId w:val="4"/>
  </w:num>
  <w:num w:numId="6" w16cid:durableId="122992167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2144929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4C"/>
    <w:rsid w:val="000A77C3"/>
    <w:rsid w:val="00172013"/>
    <w:rsid w:val="00200868"/>
    <w:rsid w:val="00210959"/>
    <w:rsid w:val="002257E8"/>
    <w:rsid w:val="00256D0F"/>
    <w:rsid w:val="002D6881"/>
    <w:rsid w:val="00416FBB"/>
    <w:rsid w:val="00443E81"/>
    <w:rsid w:val="004951C7"/>
    <w:rsid w:val="004A5912"/>
    <w:rsid w:val="00502075"/>
    <w:rsid w:val="006A7169"/>
    <w:rsid w:val="007C35D2"/>
    <w:rsid w:val="00A16744"/>
    <w:rsid w:val="00A76B40"/>
    <w:rsid w:val="00AE200F"/>
    <w:rsid w:val="00B36376"/>
    <w:rsid w:val="00C03B4C"/>
    <w:rsid w:val="00CD1A67"/>
    <w:rsid w:val="00D24F19"/>
    <w:rsid w:val="00D80FED"/>
    <w:rsid w:val="00D962D9"/>
    <w:rsid w:val="00E07B13"/>
    <w:rsid w:val="00E2157F"/>
    <w:rsid w:val="00E2355B"/>
    <w:rsid w:val="00E46504"/>
    <w:rsid w:val="00E50351"/>
    <w:rsid w:val="00EF27C7"/>
    <w:rsid w:val="00EF7251"/>
    <w:rsid w:val="00F561D0"/>
    <w:rsid w:val="00FB015D"/>
    <w:rsid w:val="00FF1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79147"/>
  <w15:chartTrackingRefBased/>
  <w15:docId w15:val="{4CD9E27B-4429-43FB-9C31-1A2EB310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6744"/>
    <w:pPr>
      <w:spacing w:after="200" w:line="276" w:lineRule="auto"/>
      <w:ind w:left="720"/>
      <w:contextualSpacing/>
    </w:pPr>
  </w:style>
  <w:style w:type="paragraph" w:styleId="NormalWeb">
    <w:name w:val="Normal (Web)"/>
    <w:basedOn w:val="Normal"/>
    <w:uiPriority w:val="99"/>
    <w:semiHidden/>
    <w:unhideWhenUsed/>
    <w:rsid w:val="00A16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C35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35D2"/>
  </w:style>
  <w:style w:type="paragraph" w:styleId="AltBilgi">
    <w:name w:val="footer"/>
    <w:basedOn w:val="Normal"/>
    <w:link w:val="AltBilgiChar"/>
    <w:uiPriority w:val="99"/>
    <w:unhideWhenUsed/>
    <w:rsid w:val="007C35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334">
      <w:bodyDiv w:val="1"/>
      <w:marLeft w:val="0"/>
      <w:marRight w:val="0"/>
      <w:marTop w:val="0"/>
      <w:marBottom w:val="0"/>
      <w:divBdr>
        <w:top w:val="none" w:sz="0" w:space="0" w:color="auto"/>
        <w:left w:val="none" w:sz="0" w:space="0" w:color="auto"/>
        <w:bottom w:val="none" w:sz="0" w:space="0" w:color="auto"/>
        <w:right w:val="none" w:sz="0" w:space="0" w:color="auto"/>
      </w:divBdr>
    </w:div>
    <w:div w:id="750007941">
      <w:bodyDiv w:val="1"/>
      <w:marLeft w:val="0"/>
      <w:marRight w:val="0"/>
      <w:marTop w:val="0"/>
      <w:marBottom w:val="0"/>
      <w:divBdr>
        <w:top w:val="none" w:sz="0" w:space="0" w:color="auto"/>
        <w:left w:val="none" w:sz="0" w:space="0" w:color="auto"/>
        <w:bottom w:val="none" w:sz="0" w:space="0" w:color="auto"/>
        <w:right w:val="none" w:sz="0" w:space="0" w:color="auto"/>
      </w:divBdr>
    </w:div>
    <w:div w:id="1025911765">
      <w:bodyDiv w:val="1"/>
      <w:marLeft w:val="0"/>
      <w:marRight w:val="0"/>
      <w:marTop w:val="0"/>
      <w:marBottom w:val="0"/>
      <w:divBdr>
        <w:top w:val="none" w:sz="0" w:space="0" w:color="auto"/>
        <w:left w:val="none" w:sz="0" w:space="0" w:color="auto"/>
        <w:bottom w:val="none" w:sz="0" w:space="0" w:color="auto"/>
        <w:right w:val="none" w:sz="0" w:space="0" w:color="auto"/>
      </w:divBdr>
    </w:div>
    <w:div w:id="1194732955">
      <w:bodyDiv w:val="1"/>
      <w:marLeft w:val="0"/>
      <w:marRight w:val="0"/>
      <w:marTop w:val="0"/>
      <w:marBottom w:val="0"/>
      <w:divBdr>
        <w:top w:val="none" w:sz="0" w:space="0" w:color="auto"/>
        <w:left w:val="none" w:sz="0" w:space="0" w:color="auto"/>
        <w:bottom w:val="none" w:sz="0" w:space="0" w:color="auto"/>
        <w:right w:val="none" w:sz="0" w:space="0" w:color="auto"/>
      </w:divBdr>
    </w:div>
    <w:div w:id="12854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Levent Özçelebi</cp:lastModifiedBy>
  <cp:revision>23</cp:revision>
  <cp:lastPrinted>2023-12-18T13:22:00Z</cp:lastPrinted>
  <dcterms:created xsi:type="dcterms:W3CDTF">2018-11-12T10:42:00Z</dcterms:created>
  <dcterms:modified xsi:type="dcterms:W3CDTF">2024-01-23T07:09:00Z</dcterms:modified>
</cp:coreProperties>
</file>